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5DB36" w14:textId="77777777" w:rsidR="00835CA9" w:rsidRDefault="00835CA9" w:rsidP="00A32AE9">
      <w:pPr>
        <w:jc w:val="center"/>
        <w:rPr>
          <w:b/>
          <w:bCs/>
          <w:sz w:val="28"/>
          <w:szCs w:val="28"/>
        </w:rPr>
      </w:pPr>
    </w:p>
    <w:p w14:paraId="6E5AFDBB" w14:textId="447167EB" w:rsidR="00A32AE9" w:rsidRPr="00A32AE9" w:rsidRDefault="00A32AE9" w:rsidP="00A32AE9">
      <w:pPr>
        <w:jc w:val="center"/>
        <w:rPr>
          <w:b/>
          <w:bCs/>
          <w:sz w:val="28"/>
          <w:szCs w:val="28"/>
        </w:rPr>
      </w:pPr>
      <w:r w:rsidRPr="00A32AE9">
        <w:rPr>
          <w:b/>
          <w:bCs/>
          <w:sz w:val="28"/>
          <w:szCs w:val="28"/>
        </w:rPr>
        <w:t>Grupo Aval continu</w:t>
      </w:r>
      <w:r w:rsidR="00213A1A">
        <w:rPr>
          <w:b/>
          <w:bCs/>
          <w:sz w:val="28"/>
          <w:szCs w:val="28"/>
        </w:rPr>
        <w:t>ó</w:t>
      </w:r>
      <w:r w:rsidRPr="00A32AE9">
        <w:rPr>
          <w:b/>
          <w:bCs/>
          <w:sz w:val="28"/>
          <w:szCs w:val="28"/>
        </w:rPr>
        <w:t xml:space="preserve"> con solidez avanzando en sus operaciones</w:t>
      </w:r>
      <w:r w:rsidR="00505A9D">
        <w:rPr>
          <w:b/>
          <w:bCs/>
          <w:sz w:val="28"/>
          <w:szCs w:val="28"/>
        </w:rPr>
        <w:t>,</w:t>
      </w:r>
      <w:r w:rsidRPr="00A32AE9">
        <w:rPr>
          <w:b/>
          <w:bCs/>
          <w:sz w:val="28"/>
          <w:szCs w:val="28"/>
        </w:rPr>
        <w:t xml:space="preserve"> inversiones</w:t>
      </w:r>
      <w:r w:rsidR="00213A1A">
        <w:rPr>
          <w:b/>
          <w:bCs/>
          <w:sz w:val="28"/>
          <w:szCs w:val="28"/>
        </w:rPr>
        <w:t xml:space="preserve"> e</w:t>
      </w:r>
      <w:r w:rsidR="00505A9D">
        <w:rPr>
          <w:b/>
          <w:bCs/>
          <w:sz w:val="28"/>
          <w:szCs w:val="28"/>
        </w:rPr>
        <w:t xml:space="preserve"> impacto social y ambiental </w:t>
      </w:r>
      <w:r w:rsidRPr="00A32AE9">
        <w:rPr>
          <w:b/>
          <w:bCs/>
          <w:sz w:val="28"/>
          <w:szCs w:val="28"/>
        </w:rPr>
        <w:t>durante 2025</w:t>
      </w:r>
    </w:p>
    <w:p w14:paraId="34AA9DA4" w14:textId="5C6D8101" w:rsidR="00A32AE9" w:rsidRPr="00A32AE9" w:rsidRDefault="00A32AE9" w:rsidP="00A32AE9">
      <w:pPr>
        <w:pStyle w:val="Prrafodelista"/>
        <w:numPr>
          <w:ilvl w:val="0"/>
          <w:numId w:val="1"/>
        </w:numPr>
        <w:jc w:val="both"/>
        <w:rPr>
          <w:b/>
          <w:bCs/>
          <w:i/>
          <w:iCs/>
        </w:rPr>
      </w:pPr>
      <w:r w:rsidRPr="00A32AE9">
        <w:rPr>
          <w:b/>
          <w:bCs/>
          <w:i/>
          <w:iCs/>
        </w:rPr>
        <w:t>El Grupo presentó sus resultados del cuarto trimestre de 2025 y de todo el año, los cuales estuvieron impulsados por mayores contribuciones de los bancos</w:t>
      </w:r>
      <w:r w:rsidR="00215A52">
        <w:rPr>
          <w:b/>
          <w:bCs/>
          <w:i/>
          <w:iCs/>
        </w:rPr>
        <w:t xml:space="preserve"> </w:t>
      </w:r>
      <w:r w:rsidR="00215A52" w:rsidRPr="00215A52">
        <w:rPr>
          <w:b/>
          <w:bCs/>
          <w:i/>
          <w:iCs/>
        </w:rPr>
        <w:t>y el excelente desempeño de los fondos administrados por Porvenir para sus afiliados.</w:t>
      </w:r>
    </w:p>
    <w:p w14:paraId="22F270FE" w14:textId="25D81086" w:rsidR="00AD7F4C" w:rsidRPr="00A32AE9" w:rsidRDefault="00D05C93" w:rsidP="00A32AE9">
      <w:pPr>
        <w:pStyle w:val="Prrafodelista"/>
        <w:numPr>
          <w:ilvl w:val="0"/>
          <w:numId w:val="1"/>
        </w:numPr>
        <w:jc w:val="both"/>
        <w:rPr>
          <w:b/>
          <w:bCs/>
          <w:i/>
          <w:iCs/>
        </w:rPr>
      </w:pPr>
      <w:r w:rsidRPr="00A32AE9">
        <w:rPr>
          <w:b/>
          <w:bCs/>
          <w:i/>
          <w:iCs/>
        </w:rPr>
        <w:t xml:space="preserve">Grupo Aval </w:t>
      </w:r>
      <w:r w:rsidR="00AD7F4C" w:rsidRPr="00A32AE9">
        <w:rPr>
          <w:b/>
          <w:bCs/>
          <w:i/>
          <w:iCs/>
        </w:rPr>
        <w:t xml:space="preserve">alcanzó una cartera bruta de $191 billones y $207 billones en depósitos </w:t>
      </w:r>
    </w:p>
    <w:p w14:paraId="5614E1DD" w14:textId="0017462C" w:rsidR="00D05C93" w:rsidRPr="00A32AE9" w:rsidRDefault="00D05C93" w:rsidP="00A32AE9">
      <w:pPr>
        <w:pStyle w:val="Prrafodelista"/>
        <w:numPr>
          <w:ilvl w:val="0"/>
          <w:numId w:val="1"/>
        </w:numPr>
        <w:jc w:val="both"/>
        <w:rPr>
          <w:b/>
          <w:bCs/>
          <w:i/>
          <w:iCs/>
        </w:rPr>
      </w:pPr>
      <w:r w:rsidRPr="00A32AE9">
        <w:rPr>
          <w:b/>
          <w:bCs/>
          <w:i/>
          <w:iCs/>
        </w:rPr>
        <w:t xml:space="preserve">Aval invirtió el año pasado </w:t>
      </w:r>
      <w:r w:rsidR="00AD7F4C" w:rsidRPr="00A32AE9">
        <w:rPr>
          <w:b/>
          <w:bCs/>
          <w:i/>
          <w:iCs/>
        </w:rPr>
        <w:t>$</w:t>
      </w:r>
      <w:r w:rsidR="005A18B5" w:rsidRPr="00A32AE9">
        <w:rPr>
          <w:b/>
          <w:bCs/>
          <w:i/>
          <w:iCs/>
        </w:rPr>
        <w:t>70</w:t>
      </w:r>
      <w:r w:rsidR="00AD7F4C" w:rsidRPr="00A32AE9">
        <w:rPr>
          <w:b/>
          <w:bCs/>
          <w:i/>
          <w:iCs/>
        </w:rPr>
        <w:t xml:space="preserve"> mil millones </w:t>
      </w:r>
      <w:r w:rsidRPr="00A32AE9">
        <w:rPr>
          <w:b/>
          <w:bCs/>
          <w:i/>
          <w:iCs/>
        </w:rPr>
        <w:t>en programas</w:t>
      </w:r>
      <w:r w:rsidR="00505A9D">
        <w:rPr>
          <w:b/>
          <w:bCs/>
          <w:i/>
          <w:iCs/>
        </w:rPr>
        <w:t xml:space="preserve"> sociales</w:t>
      </w:r>
      <w:r w:rsidRPr="00A32AE9">
        <w:rPr>
          <w:b/>
          <w:bCs/>
          <w:i/>
          <w:iCs/>
        </w:rPr>
        <w:t xml:space="preserve"> que beneficiaron a 2 millones de personas mediante proyectos enfocados en infraestructura comunitaria, educación e investigación, desarrollo socioeconómico y promoción de cultura, arte y deporte.</w:t>
      </w:r>
    </w:p>
    <w:p w14:paraId="0B6BE0D1" w14:textId="69D6E7CE" w:rsidR="00AD7F4C" w:rsidRPr="00A32AE9" w:rsidRDefault="00A64D8B" w:rsidP="00A32AE9">
      <w:pPr>
        <w:pStyle w:val="Prrafodelista"/>
        <w:numPr>
          <w:ilvl w:val="0"/>
          <w:numId w:val="1"/>
        </w:numPr>
        <w:jc w:val="both"/>
        <w:rPr>
          <w:b/>
          <w:bCs/>
          <w:i/>
          <w:iCs/>
        </w:rPr>
      </w:pPr>
      <w:r w:rsidRPr="00A32AE9">
        <w:rPr>
          <w:b/>
          <w:bCs/>
          <w:i/>
          <w:iCs/>
        </w:rPr>
        <w:t xml:space="preserve">De cara a 2026, anticipamos un año retador marcado por la volatilidad política y electoral </w:t>
      </w:r>
      <w:r w:rsidR="00AD7F4C" w:rsidRPr="00A32AE9">
        <w:rPr>
          <w:b/>
          <w:bCs/>
          <w:i/>
          <w:iCs/>
        </w:rPr>
        <w:t>en medio de presiones por mayores impuestos, inversiones forzosas y una política monetaria restrictiva.</w:t>
      </w:r>
    </w:p>
    <w:p w14:paraId="6168AE60" w14:textId="74A15F00" w:rsidR="00215A52" w:rsidRDefault="00D05C93" w:rsidP="00437B72">
      <w:pPr>
        <w:jc w:val="both"/>
      </w:pPr>
      <w:r w:rsidRPr="00D05C93">
        <w:rPr>
          <w:b/>
          <w:bCs/>
        </w:rPr>
        <w:t>Bogotá, 26 de febrero de 2026.</w:t>
      </w:r>
      <w:r w:rsidRPr="00D05C93">
        <w:t xml:space="preserve"> Grupo Aval dio a conocer los </w:t>
      </w:r>
      <w:r w:rsidR="005A18B5" w:rsidRPr="00D05C93">
        <w:t>resultados de</w:t>
      </w:r>
      <w:r w:rsidRPr="00D05C93">
        <w:t xml:space="preserve"> 2025, año en el que </w:t>
      </w:r>
      <w:r w:rsidR="00A32AE9">
        <w:t>l</w:t>
      </w:r>
      <w:r w:rsidR="00A32AE9" w:rsidRPr="00A026BA">
        <w:t xml:space="preserve">a cartera bruta cerró el año en COP </w:t>
      </w:r>
      <w:r w:rsidR="00A32AE9">
        <w:t>191 billones</w:t>
      </w:r>
      <w:r w:rsidR="00215A52">
        <w:t xml:space="preserve"> y de </w:t>
      </w:r>
      <w:r w:rsidR="00215A52" w:rsidRPr="00610F57">
        <w:t>$207 billones en depósitos</w:t>
      </w:r>
      <w:r w:rsidR="00A32AE9" w:rsidRPr="00A026BA">
        <w:t>. La rentabilidad</w:t>
      </w:r>
      <w:r w:rsidR="00A32AE9">
        <w:t xml:space="preserve"> bancaria</w:t>
      </w:r>
      <w:r w:rsidR="00A32AE9" w:rsidRPr="00A026BA">
        <w:t xml:space="preserve"> mejoró</w:t>
      </w:r>
      <w:r w:rsidR="00A32AE9">
        <w:t>,</w:t>
      </w:r>
      <w:r w:rsidR="00A32AE9" w:rsidRPr="00A026BA">
        <w:t xml:space="preserve"> apoyada en menores costos de fondeo y en una </w:t>
      </w:r>
      <w:r w:rsidR="00A32AE9">
        <w:t>mejora del nivel de provisiones de cartera.</w:t>
      </w:r>
      <w:r w:rsidR="00A32AE9" w:rsidRPr="00A026BA">
        <w:t xml:space="preserve"> </w:t>
      </w:r>
      <w:r w:rsidR="00215A52" w:rsidRPr="00A026BA">
        <w:t>Porvenir registró el mejor desempeño de su historia, con activos bajo administración por $271,2 billones</w:t>
      </w:r>
      <w:r w:rsidR="0081457A">
        <w:t xml:space="preserve">. La utilidad neta de </w:t>
      </w:r>
      <w:r w:rsidR="00215A52">
        <w:t>Grupo Aval</w:t>
      </w:r>
      <w:r w:rsidR="0081457A">
        <w:t xml:space="preserve"> para 2025 a</w:t>
      </w:r>
      <w:r w:rsidRPr="00D05C93">
        <w:t xml:space="preserve">lcanzó </w:t>
      </w:r>
      <w:r w:rsidR="0081457A">
        <w:t>$</w:t>
      </w:r>
      <w:r w:rsidRPr="00D05C93">
        <w:t>1,7 billones</w:t>
      </w:r>
      <w:r w:rsidR="00AD7F4C">
        <w:t xml:space="preserve">. </w:t>
      </w:r>
    </w:p>
    <w:p w14:paraId="5A7EF820" w14:textId="4DAC7CF5" w:rsidR="00AD7F4C" w:rsidRDefault="00D05C93" w:rsidP="00AD7F4C">
      <w:pPr>
        <w:jc w:val="both"/>
      </w:pPr>
      <w:r w:rsidRPr="00D05C93">
        <w:t>En su informe, el Grupo destacó avances estratégicos como la fusión de las fiduciarias en una sola entidad, Aval Fiduciaria</w:t>
      </w:r>
      <w:r w:rsidR="00213A1A">
        <w:t>, posicionándose cómo la sociedad fiduciaria más grande del país por activos administrados</w:t>
      </w:r>
      <w:r w:rsidRPr="00D05C93">
        <w:t>; el acuerdo para adquirir el negocio de banca minorista de Banco Itaú en Colombia; el acuerdo para desinvertir el banco panameño MFG; y las transacciones completadas por Corficolombiana para fortalecer su negocio en el corto plazo.</w:t>
      </w:r>
      <w:r w:rsidR="007E596D">
        <w:t xml:space="preserve"> </w:t>
      </w:r>
      <w:r w:rsidR="00505A9D">
        <w:t xml:space="preserve">Por su parte, </w:t>
      </w:r>
      <w:r w:rsidR="00437B72" w:rsidRPr="00A026BA">
        <w:t>Corfi avanzó en la rotación de portafolio</w:t>
      </w:r>
      <w:r w:rsidR="00213A1A">
        <w:t>,</w:t>
      </w:r>
      <w:r w:rsidR="00437B72" w:rsidRPr="00A026BA">
        <w:t xml:space="preserve"> en la reducción de su apalancamiento</w:t>
      </w:r>
      <w:r w:rsidR="00505A9D">
        <w:t xml:space="preserve">, </w:t>
      </w:r>
      <w:r w:rsidR="00437B72">
        <w:t xml:space="preserve">y </w:t>
      </w:r>
      <w:r w:rsidR="00505A9D">
        <w:t xml:space="preserve">la adquisición del </w:t>
      </w:r>
      <w:r w:rsidRPr="00D05C93">
        <w:t xml:space="preserve">51% de Sencia, concesionario de la asociación público-privada a 29 años responsable de la renovación, construcción, operación y mantenimiento del complejo Nemesio Camacho El </w:t>
      </w:r>
      <w:r w:rsidR="00835CA9" w:rsidRPr="00D05C93">
        <w:t>Campin</w:t>
      </w:r>
      <w:r w:rsidRPr="00D05C93">
        <w:t xml:space="preserve"> en Bogotá.</w:t>
      </w:r>
      <w:r w:rsidR="00215A52">
        <w:t xml:space="preserve"> </w:t>
      </w:r>
      <w:r w:rsidRPr="00D05C93">
        <w:t>En el sector de energía y gas, Promigas</w:t>
      </w:r>
      <w:r w:rsidR="00213A1A">
        <w:t>, filial de Corficolombiana,</w:t>
      </w:r>
      <w:r w:rsidRPr="00D05C93">
        <w:t xml:space="preserve"> firmó un acuerdo para adquirir el 100% de la plataforma de generación de energía renovable de Zelestra, reforzando su transformación hacia una plataforma multienergética con operaciones en Colombia, Chile y Perú.</w:t>
      </w:r>
    </w:p>
    <w:p w14:paraId="34A6CC1B" w14:textId="60D69612" w:rsidR="00437B72" w:rsidRDefault="00437B72" w:rsidP="00AD7F4C">
      <w:pPr>
        <w:jc w:val="both"/>
      </w:pPr>
      <w:r w:rsidRPr="00A026BA">
        <w:t>“</w:t>
      </w:r>
      <w:r w:rsidRPr="00505A9D">
        <w:rPr>
          <w:i/>
          <w:iCs/>
        </w:rPr>
        <w:t xml:space="preserve">Los resultados de 2025 reflejan una organización que actúa con disciplina y visión de largo plazo. En un entorno desafiante y volátil, tanto a nivel </w:t>
      </w:r>
      <w:r w:rsidRPr="00835CA9">
        <w:rPr>
          <w:i/>
          <w:iCs/>
          <w:lang w:val="es-ES"/>
        </w:rPr>
        <w:t>local</w:t>
      </w:r>
      <w:r w:rsidRPr="00505A9D">
        <w:rPr>
          <w:i/>
          <w:iCs/>
        </w:rPr>
        <w:t xml:space="preserve"> como global, el Grupo demostró su capacidad de seguir creciendo y fortaleciendo su desempeño. De cara a 2026, anticipamos un año retador marcado por la volatilidad política y electoral. Continuaremos enfocados en fortalecer nuestro negocio central, impulsar la innovación, capturar eficiencias a través de servicios compartidos e integración tecnológica</w:t>
      </w:r>
      <w:r w:rsidR="00505A9D" w:rsidRPr="00505A9D">
        <w:rPr>
          <w:i/>
          <w:iCs/>
        </w:rPr>
        <w:t xml:space="preserve">, </w:t>
      </w:r>
      <w:r w:rsidRPr="00505A9D">
        <w:rPr>
          <w:i/>
          <w:iCs/>
        </w:rPr>
        <w:t>y consolidar una cultura corporativa unificada centrada en el cliente</w:t>
      </w:r>
      <w:r w:rsidRPr="00A026BA">
        <w:t>”, afirmó María Lorena Gutiérrez, presidente de Grupo Aval.</w:t>
      </w:r>
    </w:p>
    <w:p w14:paraId="414D70C9" w14:textId="0DA9B474" w:rsidR="00437B72" w:rsidRPr="00437B72" w:rsidRDefault="00437B72" w:rsidP="00437B72">
      <w:pPr>
        <w:jc w:val="both"/>
        <w:rPr>
          <w:b/>
          <w:bCs/>
        </w:rPr>
      </w:pPr>
      <w:r w:rsidRPr="00437B72">
        <w:rPr>
          <w:b/>
          <w:bCs/>
        </w:rPr>
        <w:t>Sostenibilidad</w:t>
      </w:r>
    </w:p>
    <w:p w14:paraId="12F17975" w14:textId="2F5AD22D" w:rsidR="00D05C93" w:rsidRPr="00D05C93" w:rsidRDefault="00437B72" w:rsidP="00437B72">
      <w:pPr>
        <w:jc w:val="both"/>
      </w:pPr>
      <w:r>
        <w:lastRenderedPageBreak/>
        <w:t>E</w:t>
      </w:r>
      <w:r w:rsidR="00D05C93" w:rsidRPr="00D05C93">
        <w:t>l Grupo invirtió</w:t>
      </w:r>
      <w:r w:rsidR="00414436">
        <w:t xml:space="preserve">, </w:t>
      </w:r>
      <w:r w:rsidR="00D05C93" w:rsidRPr="00D05C93">
        <w:t>en 202</w:t>
      </w:r>
      <w:r w:rsidR="00414436">
        <w:t>5, más de</w:t>
      </w:r>
      <w:r w:rsidR="00D05C93" w:rsidRPr="00D05C93">
        <w:t xml:space="preserve"> COP </w:t>
      </w:r>
      <w:r w:rsidR="005A18B5">
        <w:t>70</w:t>
      </w:r>
      <w:r w:rsidR="00D05C93" w:rsidRPr="00D05C93">
        <w:t>.000 millones en programas sociales que beneficiaron a 2 millones de personas mediante proyectos de infraestructura comunitaria, educación e investigación, desarrollo socioeconómico y promoción de cultura, arte y deporte.</w:t>
      </w:r>
    </w:p>
    <w:p w14:paraId="54CD419D" w14:textId="424B31FF" w:rsidR="00D05C93" w:rsidRPr="00D05C93" w:rsidRDefault="007E596D" w:rsidP="00437B72">
      <w:pPr>
        <w:jc w:val="both"/>
      </w:pPr>
      <w:r>
        <w:t>Aval a</w:t>
      </w:r>
      <w:r w:rsidR="00D05C93" w:rsidRPr="00D05C93">
        <w:t>lcanzó un puntaje histórico de 81 sobre 100 e ingresó al S&amp;P Sustainability Yearbook 2026</w:t>
      </w:r>
      <w:r>
        <w:t xml:space="preserve"> y e</w:t>
      </w:r>
      <w:r w:rsidR="00D05C93" w:rsidRPr="00D05C93">
        <w:t>n MSCI mejoró su calificación a BBB.</w:t>
      </w:r>
    </w:p>
    <w:p w14:paraId="615B0225" w14:textId="77777777" w:rsidR="00D05C93" w:rsidRPr="00D05C93" w:rsidRDefault="00D05C93" w:rsidP="00437B72">
      <w:pPr>
        <w:jc w:val="both"/>
      </w:pPr>
      <w:r w:rsidRPr="00D05C93">
        <w:t>En finanzas sostenibles, la cartera llegó a COP 44,9 billones, con COP 36,2 billones en cartera social y COP 8,7 billones en cartera verde. Banco de Bogotá financió a más de 17.450 cafeteros y 81 proyectos certificados bajo estándares de construcción sostenible. Banco de Occidente apoyó proyectos renovables con 21,1 GWh de capacidad potencial y financió más de 1.023 vehículos híbridos y eléctricos. Banco Popular consolidó su liderazgo en la economía plateada con cerca de COP 10 billones en cartera y más de 476.000 clientes senior.</w:t>
      </w:r>
    </w:p>
    <w:p w14:paraId="29F90B6D" w14:textId="3300142E" w:rsidR="00437B72" w:rsidRDefault="00D05C93" w:rsidP="00437B72">
      <w:pPr>
        <w:jc w:val="both"/>
      </w:pPr>
      <w:r w:rsidRPr="00D05C93">
        <w:t xml:space="preserve">A través de Vamos Pa’lante 2025 se recaudaron COP 11.111 millones frente a una meta de COP 9.000 millones, beneficiando a más de 1.200 estudiantes. </w:t>
      </w:r>
      <w:r w:rsidR="00213A1A">
        <w:t xml:space="preserve">A través de los más de 2800 cajeros de la </w:t>
      </w:r>
      <w:r w:rsidRPr="00D05C93">
        <w:t>Red Aval</w:t>
      </w:r>
      <w:r w:rsidR="00213A1A">
        <w:t xml:space="preserve"> </w:t>
      </w:r>
      <w:r w:rsidRPr="00D05C93">
        <w:t>moviliz</w:t>
      </w:r>
      <w:r w:rsidR="00213A1A">
        <w:t>amos</w:t>
      </w:r>
      <w:r w:rsidRPr="00D05C93">
        <w:t xml:space="preserve"> COP 267 millones y las entidades aportaron directamente COP 450 millones.</w:t>
      </w:r>
    </w:p>
    <w:p w14:paraId="21732A8E" w14:textId="65E22A6C" w:rsidR="00437B72" w:rsidRDefault="00437B72" w:rsidP="00D05C93">
      <w:pPr>
        <w:jc w:val="both"/>
      </w:pPr>
      <w:r>
        <w:t>Se cumplió con</w:t>
      </w:r>
      <w:r w:rsidR="00D05C93" w:rsidRPr="00D05C93">
        <w:t xml:space="preserve"> </w:t>
      </w:r>
      <w:r w:rsidR="004876F0">
        <w:t xml:space="preserve">lo propuesto en el programa </w:t>
      </w:r>
      <w:r w:rsidR="00D05C93" w:rsidRPr="00D05C93">
        <w:t xml:space="preserve">Misión La </w:t>
      </w:r>
      <w:r w:rsidR="004876F0">
        <w:t xml:space="preserve">Guajira, beneficiando a </w:t>
      </w:r>
      <w:r w:rsidR="00D05C93" w:rsidRPr="00D05C93">
        <w:t>más de 21.500 personas</w:t>
      </w:r>
      <w:r w:rsidR="004876F0">
        <w:t xml:space="preserve"> en </w:t>
      </w:r>
      <w:r w:rsidR="00D05C93" w:rsidRPr="00D05C93">
        <w:t xml:space="preserve">más de 80 comunidades. </w:t>
      </w:r>
    </w:p>
    <w:p w14:paraId="4EE90CAF" w14:textId="272DC1DE" w:rsidR="00D05C93" w:rsidRPr="00D05C93" w:rsidRDefault="00D05C93" w:rsidP="00D05C93">
      <w:pPr>
        <w:jc w:val="both"/>
      </w:pPr>
      <w:r w:rsidRPr="00D05C93">
        <w:t>En gestión ambiental, el Grupo se adhirió a Partnership for Carbon Accounting Financials para medir y divulgar emisiones financiadas y lanzó su Estrategia de Naturaleza alineada con TNFD. En los últimos ocho años ha contribuido a restaurar y proteger 6.698 hectáreas. En 2025 redujo el consumo de energía en 9,6%, elevó el uso de energía renovable al 38%, disminuyó el consumo de agua en 1,9% y redujo residuos en 9%, recuperando 720 toneladas frente a 2024.</w:t>
      </w:r>
    </w:p>
    <w:p w14:paraId="68FA4CA1" w14:textId="77777777" w:rsidR="00C2024B" w:rsidRPr="00835CA9" w:rsidRDefault="00C2024B" w:rsidP="00C2024B">
      <w:pPr>
        <w:jc w:val="both"/>
        <w:rPr>
          <w:b/>
          <w:bCs/>
          <w:sz w:val="18"/>
          <w:szCs w:val="18"/>
        </w:rPr>
      </w:pPr>
      <w:r w:rsidRPr="00835CA9">
        <w:rPr>
          <w:b/>
          <w:bCs/>
          <w:sz w:val="18"/>
          <w:szCs w:val="18"/>
        </w:rPr>
        <w:t>Sobre Grupo Aval</w:t>
      </w:r>
    </w:p>
    <w:p w14:paraId="655AAE74" w14:textId="77777777" w:rsidR="00C2024B" w:rsidRPr="00835CA9" w:rsidRDefault="00C2024B" w:rsidP="00C2024B">
      <w:pPr>
        <w:jc w:val="both"/>
        <w:rPr>
          <w:sz w:val="18"/>
          <w:szCs w:val="18"/>
        </w:rPr>
      </w:pPr>
      <w:r w:rsidRPr="00835CA9">
        <w:rPr>
          <w:sz w:val="18"/>
          <w:szCs w:val="18"/>
        </w:rPr>
        <w:t>Grupo Aval es uno de los conglomerados empresariales más importantes de Colombia, con más de 50 años de historia y crecimiento continuo. Cuenta con operaciones en servicios financieros, pensiones, infraestructura, energía, agroindustria y turismo. A través de entidades como Banco de Bogotá, Banco de Occidente, Banco Popular, Banco AV Villas, Porvenir, Corficolombiana y la billetera digital dale!, atiende a millones de personas y empresas en el país, impulsando inclusión financiera, ahorro pensional, inversión responsable y desarrollo económico sostenible. Más información en grupoaval.com</w:t>
      </w:r>
    </w:p>
    <w:p w14:paraId="257DDFAA" w14:textId="77777777" w:rsidR="00C2024B" w:rsidRPr="00835CA9" w:rsidRDefault="00C2024B" w:rsidP="007E596D">
      <w:pPr>
        <w:rPr>
          <w:sz w:val="18"/>
          <w:szCs w:val="18"/>
        </w:rPr>
      </w:pPr>
    </w:p>
    <w:sectPr w:rsidR="00C2024B" w:rsidRPr="00835CA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6610D" w14:textId="77777777" w:rsidR="005077D2" w:rsidRDefault="005077D2" w:rsidP="00C2024B">
      <w:pPr>
        <w:spacing w:after="0" w:line="240" w:lineRule="auto"/>
      </w:pPr>
      <w:r>
        <w:separator/>
      </w:r>
    </w:p>
  </w:endnote>
  <w:endnote w:type="continuationSeparator" w:id="0">
    <w:p w14:paraId="589DF596" w14:textId="77777777" w:rsidR="005077D2" w:rsidRDefault="005077D2" w:rsidP="00C2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8AF1" w14:textId="1A3A1D2B" w:rsidR="00C2024B" w:rsidRDefault="00C2024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63360" behindDoc="0" locked="0" layoutInCell="1" allowOverlap="1" wp14:anchorId="427DA914" wp14:editId="54AF9F49">
          <wp:simplePos x="0" y="0"/>
          <wp:positionH relativeFrom="column">
            <wp:posOffset>-965200</wp:posOffset>
          </wp:positionH>
          <wp:positionV relativeFrom="paragraph">
            <wp:posOffset>-69850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61312" behindDoc="0" locked="0" layoutInCell="1" allowOverlap="1" wp14:anchorId="3456E78D" wp14:editId="04FDCF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64556" cy="481754"/>
          <wp:effectExtent l="0" t="0" r="0" b="0"/>
          <wp:wrapNone/>
          <wp:docPr id="2761310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B9F1" w14:textId="77777777" w:rsidR="005077D2" w:rsidRDefault="005077D2" w:rsidP="00C2024B">
      <w:pPr>
        <w:spacing w:after="0" w:line="240" w:lineRule="auto"/>
      </w:pPr>
      <w:r>
        <w:separator/>
      </w:r>
    </w:p>
  </w:footnote>
  <w:footnote w:type="continuationSeparator" w:id="0">
    <w:p w14:paraId="01D97733" w14:textId="77777777" w:rsidR="005077D2" w:rsidRDefault="005077D2" w:rsidP="00C2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9C34" w14:textId="10D9CD57" w:rsidR="00C2024B" w:rsidRDefault="00C2024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A74CF0" wp14:editId="3D556088">
          <wp:simplePos x="0" y="0"/>
          <wp:positionH relativeFrom="margin">
            <wp:posOffset>4108450</wp:posOffset>
          </wp:positionH>
          <wp:positionV relativeFrom="paragraph">
            <wp:posOffset>-210185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92EE6"/>
    <w:multiLevelType w:val="hybridMultilevel"/>
    <w:tmpl w:val="F934F6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51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FF"/>
    <w:rsid w:val="000927AC"/>
    <w:rsid w:val="000E1A3F"/>
    <w:rsid w:val="00185DF4"/>
    <w:rsid w:val="00213A1A"/>
    <w:rsid w:val="00215A52"/>
    <w:rsid w:val="00321D45"/>
    <w:rsid w:val="00414436"/>
    <w:rsid w:val="00420464"/>
    <w:rsid w:val="00430E9B"/>
    <w:rsid w:val="00437B72"/>
    <w:rsid w:val="0044132F"/>
    <w:rsid w:val="004876F0"/>
    <w:rsid w:val="004B1CC1"/>
    <w:rsid w:val="004F593F"/>
    <w:rsid w:val="00505A9D"/>
    <w:rsid w:val="005077D2"/>
    <w:rsid w:val="005430F6"/>
    <w:rsid w:val="005A18B5"/>
    <w:rsid w:val="00610F57"/>
    <w:rsid w:val="006433C2"/>
    <w:rsid w:val="00683D80"/>
    <w:rsid w:val="00725046"/>
    <w:rsid w:val="00795476"/>
    <w:rsid w:val="007E596D"/>
    <w:rsid w:val="0081457A"/>
    <w:rsid w:val="00815BEF"/>
    <w:rsid w:val="00835CA9"/>
    <w:rsid w:val="00850BAE"/>
    <w:rsid w:val="008761A8"/>
    <w:rsid w:val="008B6BF7"/>
    <w:rsid w:val="00A026BA"/>
    <w:rsid w:val="00A32AE9"/>
    <w:rsid w:val="00A64D8B"/>
    <w:rsid w:val="00A701FF"/>
    <w:rsid w:val="00AD7F4C"/>
    <w:rsid w:val="00B927C7"/>
    <w:rsid w:val="00C2024B"/>
    <w:rsid w:val="00D05C93"/>
    <w:rsid w:val="00D274DE"/>
    <w:rsid w:val="00E652BF"/>
    <w:rsid w:val="00EE0413"/>
    <w:rsid w:val="00F0393A"/>
    <w:rsid w:val="00F6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F825"/>
  <w15:chartTrackingRefBased/>
  <w15:docId w15:val="{5FA68F09-E229-4DA6-978B-1582736D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0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0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0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0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0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0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0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0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0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0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01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01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1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1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01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01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0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0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0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0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0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01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01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01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0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01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01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5C9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024B"/>
  </w:style>
  <w:style w:type="paragraph" w:styleId="Piedepgina">
    <w:name w:val="footer"/>
    <w:basedOn w:val="Normal"/>
    <w:link w:val="Piedepgina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024B"/>
  </w:style>
  <w:style w:type="paragraph" w:styleId="Revisin">
    <w:name w:val="Revision"/>
    <w:hidden/>
    <w:uiPriority w:val="99"/>
    <w:semiHidden/>
    <w:rsid w:val="00185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XSUJHA6STUM5-745083312-71697</_dlc_DocId>
    <_dlc_DocIdUrl xmlns="9e47f78e-7e38-4c40-acd5-1ca88ea40e0a">
      <Url>https://graval.sharepoint.com/sites/holding/w/_layouts/15/DocIdRedir.aspx?ID=XSUJHA6STUM5-745083312-71697</Url>
      <Description>XSUJHA6STUM5-745083312-71697</Description>
    </_dlc_DocIdUrl>
  </documentManagement>
</p:properties>
</file>

<file path=customXml/itemProps1.xml><?xml version="1.0" encoding="utf-8"?>
<ds:datastoreItem xmlns:ds="http://schemas.openxmlformats.org/officeDocument/2006/customXml" ds:itemID="{40B623F4-9D54-46D3-AD1B-BDEF90608A5B}"/>
</file>

<file path=customXml/itemProps2.xml><?xml version="1.0" encoding="utf-8"?>
<ds:datastoreItem xmlns:ds="http://schemas.openxmlformats.org/officeDocument/2006/customXml" ds:itemID="{EBB65F9C-E45D-4073-B7DD-70CA30F4CF01}"/>
</file>

<file path=customXml/itemProps3.xml><?xml version="1.0" encoding="utf-8"?>
<ds:datastoreItem xmlns:ds="http://schemas.openxmlformats.org/officeDocument/2006/customXml" ds:itemID="{7A3BBC86-7B81-412C-94A0-80943019550A}"/>
</file>

<file path=customXml/itemProps4.xml><?xml version="1.0" encoding="utf-8"?>
<ds:datastoreItem xmlns:ds="http://schemas.openxmlformats.org/officeDocument/2006/customXml" ds:itemID="{5156C372-379F-4A8E-9E31-F2E74A3AEB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4637</Characters>
  <Application>Microsoft Office Word</Application>
  <DocSecurity>4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Libreta Personal 9</dc:creator>
  <cp:keywords/>
  <dc:description/>
  <cp:lastModifiedBy>PAULA DURAN</cp:lastModifiedBy>
  <cp:revision>2</cp:revision>
  <cp:lastPrinted>2026-02-26T02:25:00Z</cp:lastPrinted>
  <dcterms:created xsi:type="dcterms:W3CDTF">2026-02-26T15:10:00Z</dcterms:created>
  <dcterms:modified xsi:type="dcterms:W3CDTF">2026-02-26T15:10:00Z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d0555b81-acda-4642-9848-2c099a05ec99</vt:lpwstr>
  </property>
  <property fmtid="{D5CDD505-2E9C-101B-9397-08002B2CF9AE}" pid="4" name="MediaServiceImageTags">
    <vt:lpwstr/>
  </property>
</Properties>
</file>